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C4AF7">
      <w:pPr>
        <w:suppressAutoHyphens/>
        <w:spacing w:after="0" w:line="264" w:lineRule="auto"/>
        <w:jc w:val="center"/>
        <w:rPr>
          <w:rFonts w:ascii="Times New Roman" w:hAnsi="Times New Roman" w:eastAsia="Times New Roman" w:cs="Times New Roman"/>
          <w:b/>
          <w:sz w:val="40"/>
          <w:szCs w:val="40"/>
          <w:lang w:eastAsia="ar-SA"/>
        </w:rPr>
      </w:pPr>
      <w:r>
        <w:rPr>
          <w:rFonts w:ascii="Times New Roman" w:hAnsi="Times New Roman" w:eastAsia="Times New Roman" w:cs="Times New Roman"/>
          <w:b/>
          <w:sz w:val="40"/>
          <w:szCs w:val="40"/>
          <w:lang w:eastAsia="ar-SA"/>
        </w:rPr>
        <w:t>Российская Федерация</w:t>
      </w:r>
    </w:p>
    <w:p w14:paraId="40AB5839">
      <w:pPr>
        <w:suppressAutoHyphens/>
        <w:spacing w:after="0" w:line="264" w:lineRule="auto"/>
        <w:jc w:val="center"/>
        <w:rPr>
          <w:rFonts w:ascii="Times New Roman" w:hAnsi="Times New Roman" w:eastAsia="Times New Roman" w:cs="Times New Roman"/>
          <w:b/>
          <w:caps/>
          <w:sz w:val="40"/>
          <w:szCs w:val="40"/>
          <w:lang w:eastAsia="ar-SA"/>
        </w:rPr>
      </w:pPr>
      <w:r>
        <w:rPr>
          <w:rFonts w:ascii="Times New Roman" w:hAnsi="Times New Roman" w:eastAsia="Times New Roman" w:cs="Times New Roman"/>
          <w:b/>
          <w:sz w:val="40"/>
          <w:szCs w:val="40"/>
          <w:lang w:eastAsia="ar-SA"/>
        </w:rPr>
        <w:t>Общество с ограниченной ответственностью</w:t>
      </w:r>
    </w:p>
    <w:p w14:paraId="36F3FED5">
      <w:pPr>
        <w:suppressAutoHyphens/>
        <w:spacing w:after="0" w:line="264" w:lineRule="auto"/>
        <w:jc w:val="center"/>
        <w:rPr>
          <w:rFonts w:ascii="Times New Roman" w:hAnsi="Times New Roman" w:eastAsia="Times New Roman" w:cs="Times New Roman"/>
          <w:b/>
          <w:caps/>
          <w:sz w:val="20"/>
          <w:szCs w:val="20"/>
          <w:lang w:eastAsia="ar-SA"/>
        </w:rPr>
      </w:pPr>
      <w:r>
        <w:rPr>
          <w:rFonts w:ascii="Times New Roman" w:hAnsi="Times New Roman" w:eastAsia="Times New Roman" w:cs="Times New Roman"/>
          <w:b/>
          <w:caps/>
          <w:sz w:val="40"/>
          <w:szCs w:val="40"/>
          <w:lang w:eastAsia="ar-SA"/>
        </w:rPr>
        <w:t>«СТРОЙАЧИНСК»</w:t>
      </w:r>
    </w:p>
    <w:tbl>
      <w:tblPr>
        <w:tblStyle w:val="3"/>
        <w:tblW w:w="0" w:type="auto"/>
        <w:tblInd w:w="0" w:type="dxa"/>
        <w:tblBorders>
          <w:top w:val="single" w:color="auto" w:sz="18" w:space="0"/>
          <w:left w:val="none" w:color="auto" w:sz="0" w:space="0"/>
          <w:bottom w:val="single" w:color="auto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3544"/>
        <w:gridCol w:w="3827"/>
      </w:tblGrid>
      <w:tr w14:paraId="7CAB2123">
        <w:tblPrEx>
          <w:tblBorders>
            <w:top w:val="single" w:color="auto" w:sz="18" w:space="0"/>
            <w:left w:val="none" w:color="auto" w:sz="0" w:space="0"/>
            <w:bottom w:val="single" w:color="auto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2660" w:type="dxa"/>
            <w:tcBorders>
              <w:tl2br w:val="nil"/>
              <w:tr2bl w:val="nil"/>
            </w:tcBorders>
            <w:vAlign w:val="center"/>
          </w:tcPr>
          <w:p w14:paraId="486E5687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 xml:space="preserve">РФ Красноярский край           </w:t>
            </w:r>
          </w:p>
          <w:p w14:paraId="3884F4A3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>662153  г.Ачинск</w:t>
            </w:r>
          </w:p>
          <w:p w14:paraId="2289F22F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 xml:space="preserve">ул.Декабристов, 56      </w:t>
            </w:r>
          </w:p>
          <w:p w14:paraId="00F422F1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 xml:space="preserve">Тел. (39151) 7-10-85      </w:t>
            </w:r>
          </w:p>
          <w:p w14:paraId="11804C2B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18"/>
                <w:szCs w:val="24"/>
                <w:lang w:val="en-US"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>Факс</w:t>
            </w: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val="en-US" w:eastAsia="ar-SA"/>
              </w:rPr>
              <w:t xml:space="preserve"> 7-76-14</w:t>
            </w:r>
          </w:p>
          <w:p w14:paraId="5B6BBF86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18"/>
                <w:szCs w:val="24"/>
                <w:lang w:val="en-US"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val="en-US" w:eastAsia="ar-SA"/>
              </w:rPr>
              <w:t>E-mail: olda10@yandex. ru</w:t>
            </w:r>
          </w:p>
          <w:p w14:paraId="4161EB4A">
            <w:pPr>
              <w:suppressAutoHyphens/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i/>
                <w:sz w:val="18"/>
                <w:szCs w:val="24"/>
                <w:lang w:val="en-US" w:eastAsia="ar-SA"/>
              </w:rPr>
            </w:pPr>
          </w:p>
        </w:tc>
        <w:tc>
          <w:tcPr>
            <w:tcW w:w="3544" w:type="dxa"/>
            <w:tcBorders>
              <w:tl2br w:val="nil"/>
              <w:tr2bl w:val="nil"/>
            </w:tcBorders>
            <w:vAlign w:val="center"/>
          </w:tcPr>
          <w:p w14:paraId="46BDDC0C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  <w:drawing>
                <wp:inline distT="0" distB="0" distL="0" distR="0">
                  <wp:extent cx="1743075" cy="885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075" cy="8858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tcBorders>
              <w:tl2br w:val="nil"/>
              <w:tr2bl w:val="nil"/>
            </w:tcBorders>
            <w:vAlign w:val="center"/>
          </w:tcPr>
          <w:p w14:paraId="77758263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>ИНН 2443017871 КПП 244301001</w:t>
            </w:r>
          </w:p>
          <w:p w14:paraId="1AC582A5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>ОКПО 53637111 ОКОНХ 61110</w:t>
            </w:r>
          </w:p>
          <w:p w14:paraId="4E8AADA2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 xml:space="preserve"> Р/сч 40702810531000038722</w:t>
            </w:r>
          </w:p>
          <w:p w14:paraId="7049E58E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 xml:space="preserve">КРАСНОЯРСКОЕ ОТДЕЛЕНИЕ N 8646  </w:t>
            </w:r>
          </w:p>
          <w:p w14:paraId="4494CC78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>ПАО СБЕРБАНК г.Красноярск</w:t>
            </w:r>
          </w:p>
          <w:p w14:paraId="7E1AC4C7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>к/сч 30101810800000000627</w:t>
            </w:r>
          </w:p>
          <w:p w14:paraId="1A3088F0">
            <w:pPr>
              <w:suppressAutoHyphens/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24"/>
                <w:lang w:eastAsia="ar-SA"/>
              </w:rPr>
              <w:t>БИК 040407627</w:t>
            </w:r>
          </w:p>
        </w:tc>
      </w:tr>
    </w:tbl>
    <w:p w14:paraId="64BC7D0A">
      <w:pPr>
        <w:suppressAutoHyphens/>
        <w:spacing w:after="0" w:line="240" w:lineRule="auto"/>
        <w:jc w:val="both"/>
        <w:rPr>
          <w:rFonts w:ascii="Times New Roman" w:hAnsi="Times New Roman" w:eastAsia="Times New Roman" w:cs="Times New Roman"/>
          <w:i/>
          <w:iCs/>
          <w:sz w:val="20"/>
          <w:szCs w:val="20"/>
          <w:lang w:eastAsia="ar-SA"/>
        </w:rPr>
      </w:pPr>
    </w:p>
    <w:p w14:paraId="2D55208B">
      <w:pPr>
        <w:ind w:left="0" w:leftChars="0" w:firstLine="560" w:firstLineChars="2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Отчет о выполненных работах по предписанию Министерства социальной политики от 25.09.2025 № 80-4898 </w:t>
      </w:r>
    </w:p>
    <w:tbl>
      <w:tblPr>
        <w:tblStyle w:val="3"/>
        <w:tblW w:w="10730" w:type="dxa"/>
        <w:tblInd w:w="-480" w:type="dxa"/>
        <w:tblBorders>
          <w:top w:val="single" w:color="2F2F2F" w:sz="12" w:space="0"/>
          <w:left w:val="single" w:color="2F2F2F" w:sz="12" w:space="0"/>
          <w:bottom w:val="single" w:color="2F2F2F" w:sz="12" w:space="0"/>
          <w:right w:val="single" w:color="2F2F2F" w:sz="12" w:space="0"/>
          <w:insideH w:val="single" w:color="2F2F2F" w:sz="12" w:space="0"/>
          <w:insideV w:val="single" w:color="2F2F2F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4"/>
        <w:gridCol w:w="3219"/>
        <w:gridCol w:w="4166"/>
        <w:gridCol w:w="2861"/>
      </w:tblGrid>
      <w:tr w14:paraId="6412AFE7">
        <w:tblPrEx>
          <w:tblBorders>
            <w:top w:val="single" w:color="2F2F2F" w:sz="12" w:space="0"/>
            <w:left w:val="single" w:color="2F2F2F" w:sz="12" w:space="0"/>
            <w:bottom w:val="single" w:color="2F2F2F" w:sz="12" w:space="0"/>
            <w:right w:val="single" w:color="2F2F2F" w:sz="12" w:space="0"/>
            <w:insideH w:val="single" w:color="2F2F2F" w:sz="12" w:space="0"/>
            <w:insideV w:val="single" w:color="2F2F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" w:hRule="atLeast"/>
        </w:trPr>
        <w:tc>
          <w:tcPr>
            <w:tcW w:w="484" w:type="dxa"/>
          </w:tcPr>
          <w:p w14:paraId="08BB20D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№пп</w:t>
            </w:r>
          </w:p>
        </w:tc>
        <w:tc>
          <w:tcPr>
            <w:tcW w:w="3219" w:type="dxa"/>
          </w:tcPr>
          <w:p w14:paraId="58BFF0F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leftChars="0" w:right="28" w:firstLine="9" w:firstLineChars="0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Описание выявленных нарушений </w:t>
            </w:r>
            <w:r>
              <w:rPr>
                <w:rFonts w:hint="default" w:eastAsiaTheme="minorHAnsi"/>
                <w:sz w:val="22"/>
                <w:szCs w:val="22"/>
                <w:lang w:val="ru-RU" w:eastAsia="en-US"/>
              </w:rPr>
              <w:t>обязательных</w:t>
            </w: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 xml:space="preserve"> требований</w:t>
            </w:r>
          </w:p>
        </w:tc>
        <w:tc>
          <w:tcPr>
            <w:tcW w:w="4166" w:type="dxa"/>
          </w:tcPr>
          <w:p w14:paraId="784E3340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leftChars="0" w:right="28" w:firstLine="9" w:firstLineChars="0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eastAsiaTheme="minorHAnsi"/>
                <w:sz w:val="22"/>
                <w:szCs w:val="22"/>
                <w:lang w:val="ru-RU" w:eastAsia="en-US"/>
              </w:rPr>
              <w:t>Нормативные правовые акты и их положения</w:t>
            </w:r>
          </w:p>
        </w:tc>
        <w:tc>
          <w:tcPr>
            <w:tcW w:w="2861" w:type="dxa"/>
          </w:tcPr>
          <w:p w14:paraId="158EF3E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leftChars="0" w:right="28" w:firstLine="9" w:firstLineChars="0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Отчет о проделанной работе</w:t>
            </w:r>
          </w:p>
        </w:tc>
      </w:tr>
      <w:tr w14:paraId="4BB9668F">
        <w:tblPrEx>
          <w:tblBorders>
            <w:top w:val="single" w:color="2F2F2F" w:sz="12" w:space="0"/>
            <w:left w:val="single" w:color="2F2F2F" w:sz="12" w:space="0"/>
            <w:bottom w:val="single" w:color="2F2F2F" w:sz="12" w:space="0"/>
            <w:right w:val="single" w:color="2F2F2F" w:sz="12" w:space="0"/>
            <w:insideH w:val="single" w:color="2F2F2F" w:sz="12" w:space="0"/>
            <w:insideV w:val="single" w:color="2F2F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4" w:type="dxa"/>
          </w:tcPr>
          <w:p w14:paraId="6A98F1C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219" w:type="dxa"/>
          </w:tcPr>
          <w:p w14:paraId="6EFEC7B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leftChars="0" w:right="28" w:firstLine="9" w:firstLineChars="0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информационном стенде в помещении санатория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«Родник» не размещена информация о режиме работы.</w:t>
            </w:r>
          </w:p>
        </w:tc>
        <w:tc>
          <w:tcPr>
            <w:tcW w:w="4166" w:type="dxa"/>
          </w:tcPr>
          <w:p w14:paraId="3930A4B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leftChars="0" w:right="28" w:firstLine="9" w:firstLineChars="0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1 части 2 статьи 13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</w:t>
            </w:r>
            <w:bookmarkStart w:id="0" w:name="_GoBack"/>
            <w:bookmarkEnd w:id="0"/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служивания граждан Российский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информационных стендах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помещениях поставщика социаль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ых услуг обеспечивает открытость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доступность информации о ре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ж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име работы.</w:t>
            </w:r>
          </w:p>
        </w:tc>
        <w:tc>
          <w:tcPr>
            <w:tcW w:w="2861" w:type="dxa"/>
          </w:tcPr>
          <w:p w14:paraId="55972B8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leftChars="0" w:right="28" w:firstLine="9" w:firstLineChars="0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628DE0DF">
        <w:tblPrEx>
          <w:tblBorders>
            <w:top w:val="single" w:color="2F2F2F" w:sz="12" w:space="0"/>
            <w:left w:val="single" w:color="2F2F2F" w:sz="12" w:space="0"/>
            <w:bottom w:val="single" w:color="2F2F2F" w:sz="12" w:space="0"/>
            <w:right w:val="single" w:color="2F2F2F" w:sz="12" w:space="0"/>
            <w:insideH w:val="single" w:color="2F2F2F" w:sz="12" w:space="0"/>
            <w:insideV w:val="single" w:color="2F2F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4" w:type="dxa"/>
          </w:tcPr>
          <w:p w14:paraId="13CC82B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3219" w:type="dxa"/>
          </w:tcPr>
          <w:p w14:paraId="3F29661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информационном стенде в помещении санатория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«Родник» не размещена информация о графике работы.</w:t>
            </w:r>
          </w:p>
        </w:tc>
        <w:tc>
          <w:tcPr>
            <w:tcW w:w="4166" w:type="dxa"/>
          </w:tcPr>
          <w:p w14:paraId="7F477127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1 части 2 статьи 13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закона от 28.12.2013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№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граждан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 на информационных стендах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помещениях поставщика социальных услуг обеспечивает открытость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доступность информации о графике работы.</w:t>
            </w:r>
          </w:p>
        </w:tc>
        <w:tc>
          <w:tcPr>
            <w:tcW w:w="2861" w:type="dxa"/>
          </w:tcPr>
          <w:p w14:paraId="18E4BDA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0A4B9842">
        <w:tblPrEx>
          <w:tblBorders>
            <w:top w:val="single" w:color="2F2F2F" w:sz="12" w:space="0"/>
            <w:left w:val="single" w:color="2F2F2F" w:sz="12" w:space="0"/>
            <w:bottom w:val="single" w:color="2F2F2F" w:sz="12" w:space="0"/>
            <w:right w:val="single" w:color="2F2F2F" w:sz="12" w:space="0"/>
            <w:insideH w:val="single" w:color="2F2F2F" w:sz="12" w:space="0"/>
            <w:insideV w:val="single" w:color="2F2F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4" w:type="dxa"/>
          </w:tcPr>
          <w:p w14:paraId="2F2B14C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</w:p>
          <w:p w14:paraId="588D4B4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219" w:type="dxa"/>
          </w:tcPr>
          <w:p w14:paraId="2D9A58E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ООО «СтройАчинск» на информационном стенде в помещении санатория «Родник»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не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 размещена информация о структуре и об органах управления организации социального обслуживания.</w:t>
            </w:r>
          </w:p>
        </w:tc>
        <w:tc>
          <w:tcPr>
            <w:tcW w:w="4166" w:type="dxa"/>
          </w:tcPr>
          <w:p w14:paraId="021AC3C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2 части 2 статьи 13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иа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льного обслуживания граждан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 на информационных стендах в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помещениях поставщика социальных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услуг обеспечивает открытость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доступность информации о структуре и об органах управления орга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изации социального обслуживания.</w:t>
            </w:r>
          </w:p>
        </w:tc>
        <w:tc>
          <w:tcPr>
            <w:tcW w:w="2861" w:type="dxa"/>
          </w:tcPr>
          <w:p w14:paraId="74B0415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31D4A0EE">
        <w:tblPrEx>
          <w:tblBorders>
            <w:top w:val="single" w:color="2F2F2F" w:sz="12" w:space="0"/>
            <w:left w:val="single" w:color="2F2F2F" w:sz="12" w:space="0"/>
            <w:bottom w:val="single" w:color="2F2F2F" w:sz="12" w:space="0"/>
            <w:right w:val="single" w:color="2F2F2F" w:sz="12" w:space="0"/>
            <w:insideH w:val="single" w:color="2F2F2F" w:sz="12" w:space="0"/>
            <w:insideV w:val="single" w:color="2F2F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5" w:hRule="atLeast"/>
        </w:trPr>
        <w:tc>
          <w:tcPr>
            <w:tcW w:w="484" w:type="dxa"/>
          </w:tcPr>
          <w:p w14:paraId="1911B44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3219" w:type="dxa"/>
          </w:tcPr>
          <w:p w14:paraId="7F89EBD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информационном стенде в помещении санатория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«Род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ик» не размещена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информация о заместителе руководителя.</w:t>
            </w:r>
          </w:p>
        </w:tc>
        <w:tc>
          <w:tcPr>
            <w:tcW w:w="4166" w:type="dxa"/>
          </w:tcPr>
          <w:p w14:paraId="288A182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5 части 2 статьи 13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граждан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информационных стендах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помещениях обеспечивает откр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ы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тость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доступность информации о заместителях руководителя.</w:t>
            </w:r>
          </w:p>
        </w:tc>
        <w:tc>
          <w:tcPr>
            <w:tcW w:w="2861" w:type="dxa"/>
          </w:tcPr>
          <w:p w14:paraId="099852A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2A61BB3D">
        <w:tblPrEx>
          <w:tblBorders>
            <w:top w:val="single" w:color="2F2F2F" w:sz="12" w:space="0"/>
            <w:left w:val="single" w:color="2F2F2F" w:sz="12" w:space="0"/>
            <w:bottom w:val="single" w:color="2F2F2F" w:sz="12" w:space="0"/>
            <w:right w:val="single" w:color="2F2F2F" w:sz="12" w:space="0"/>
            <w:insideH w:val="single" w:color="2F2F2F" w:sz="12" w:space="0"/>
            <w:insideV w:val="single" w:color="2F2F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0" w:hRule="atLeast"/>
        </w:trPr>
        <w:tc>
          <w:tcPr>
            <w:tcW w:w="484" w:type="dxa"/>
          </w:tcPr>
          <w:p w14:paraId="79AE518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219" w:type="dxa"/>
          </w:tcPr>
          <w:p w14:paraId="7D450A2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информационном стенде в помещении санатория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«Родник» не размещена информация о персональном составе работников.</w:t>
            </w:r>
          </w:p>
        </w:tc>
        <w:tc>
          <w:tcPr>
            <w:tcW w:w="4166" w:type="dxa"/>
          </w:tcPr>
          <w:p w14:paraId="539F18C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5 части 2 статьи 13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ьн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ого обслуживания граждан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 на информационных стендах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помещениях обеспечивает открытость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доступность информации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 персональном составе работников (с указанием с их согласия уровня образования, квалификации и опыта работы).</w:t>
            </w:r>
          </w:p>
        </w:tc>
        <w:tc>
          <w:tcPr>
            <w:tcW w:w="2861" w:type="dxa"/>
          </w:tcPr>
          <w:p w14:paraId="59A9B7E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4AB7EBFE">
        <w:tblPrEx>
          <w:tblBorders>
            <w:top w:val="single" w:color="2F2B2F" w:sz="12" w:space="0"/>
            <w:left w:val="single" w:color="2F2B2F" w:sz="12" w:space="0"/>
            <w:bottom w:val="single" w:color="2F2B2F" w:sz="12" w:space="0"/>
            <w:right w:val="single" w:color="2F2B2F" w:sz="12" w:space="0"/>
            <w:insideH w:val="single" w:color="2F2B2F" w:sz="12" w:space="0"/>
            <w:insideV w:val="single" w:color="2F2B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9" w:hRule="atLeast"/>
        </w:trPr>
        <w:tc>
          <w:tcPr>
            <w:tcW w:w="484" w:type="dxa"/>
          </w:tcPr>
          <w:p w14:paraId="3E668BB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3219" w:type="dxa"/>
          </w:tcPr>
          <w:p w14:paraId="3F2CFFC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информационном стенде в помещении санатория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«Родник» не размещена информация о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материально -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техническом обеспечении предоставления социальных услуг (наличии оборудованных помещений для предоставления социальных услуг, в том числе библиотек, объектов спорта).</w:t>
            </w:r>
          </w:p>
        </w:tc>
        <w:tc>
          <w:tcPr>
            <w:tcW w:w="4166" w:type="dxa"/>
          </w:tcPr>
          <w:p w14:paraId="2A65B09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6 части 2 статьи 13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N• 442-ФЗ</w:t>
            </w:r>
          </w:p>
          <w:p w14:paraId="22C48DD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 w:firstLine="1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О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б основах социального обслуживания граждан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- поставщик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с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оц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ал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ь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ы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х услуг на информационных стендах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помещениях обеспечивает открытость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доступность информации о материально- техническом обеспечении предоставления социальных услуг (наличии оборудованных помещений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для пр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е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доставления социальных услуг,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том числе библиотек, объектов спорта).</w:t>
            </w:r>
          </w:p>
        </w:tc>
        <w:tc>
          <w:tcPr>
            <w:tcW w:w="2861" w:type="dxa"/>
          </w:tcPr>
          <w:p w14:paraId="62821DA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6210D539">
        <w:tblPrEx>
          <w:tblBorders>
            <w:top w:val="single" w:color="2F2B2F" w:sz="12" w:space="0"/>
            <w:left w:val="single" w:color="2F2B2F" w:sz="12" w:space="0"/>
            <w:bottom w:val="single" w:color="2F2B2F" w:sz="12" w:space="0"/>
            <w:right w:val="single" w:color="2F2B2F" w:sz="12" w:space="0"/>
            <w:insideH w:val="single" w:color="2F2B2F" w:sz="12" w:space="0"/>
            <w:insideV w:val="single" w:color="2F2B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84" w:type="dxa"/>
          </w:tcPr>
          <w:p w14:paraId="52C81C0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3219" w:type="dxa"/>
          </w:tcPr>
          <w:p w14:paraId="659EFDB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информационном стенде в помещении санатория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«Родник» не размещена информация о материально- техническом обеспечения предоставления социальных услуг (об условиях питания и обеспечение охраны здоровья получателей социальных услуг).</w:t>
            </w:r>
          </w:p>
        </w:tc>
        <w:tc>
          <w:tcPr>
            <w:tcW w:w="4166" w:type="dxa"/>
          </w:tcPr>
          <w:p w14:paraId="7374480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6 части 2 статьи 13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граждан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 на информационных стендах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помещениях обеспечивает открытость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доступность информации о материально- тех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ическом обеспечении предоставления социальных услуг (об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у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словиях питания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обеспечении охраны здоровья получателей социальных услуг).</w:t>
            </w:r>
          </w:p>
        </w:tc>
        <w:tc>
          <w:tcPr>
            <w:tcW w:w="2861" w:type="dxa"/>
          </w:tcPr>
          <w:p w14:paraId="08DD0D9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4503650E">
        <w:tblPrEx>
          <w:tblBorders>
            <w:top w:val="single" w:color="2F2B2F" w:sz="12" w:space="0"/>
            <w:left w:val="single" w:color="2F2B2F" w:sz="12" w:space="0"/>
            <w:bottom w:val="single" w:color="2F2B2F" w:sz="12" w:space="0"/>
            <w:right w:val="single" w:color="2F2B2F" w:sz="12" w:space="0"/>
            <w:insideH w:val="single" w:color="2F2B2F" w:sz="12" w:space="0"/>
            <w:insideV w:val="single" w:color="2F2B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84" w:hRule="atLeast"/>
        </w:trPr>
        <w:tc>
          <w:tcPr>
            <w:tcW w:w="484" w:type="dxa"/>
          </w:tcPr>
          <w:p w14:paraId="70F92B5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3219" w:type="dxa"/>
          </w:tcPr>
          <w:p w14:paraId="517CF40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‹СтройАчинск»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информационном стенде в помещении санатория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«Родник» не размещена информация о материально- техническом обеспечения предоставления социальных услуг (доступе к информационным системам в сфере социального обслуживания и сети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«Интернет»).</w:t>
            </w:r>
          </w:p>
        </w:tc>
        <w:tc>
          <w:tcPr>
            <w:tcW w:w="4166" w:type="dxa"/>
          </w:tcPr>
          <w:p w14:paraId="1B9A99A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6 части 2 статьи 13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У°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граждан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информационных стендах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помещениях обеспечивает открытость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доступность информации о материально- техническом обеспечении предоставления социальных услуг (доступе к информационным системам в сфере социального обслуживания и сети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«Интернет»).</w:t>
            </w:r>
          </w:p>
        </w:tc>
        <w:tc>
          <w:tcPr>
            <w:tcW w:w="2861" w:type="dxa"/>
          </w:tcPr>
          <w:p w14:paraId="07658F17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77CC59AC">
        <w:tblPrEx>
          <w:tblBorders>
            <w:top w:val="single" w:color="2F2B2F" w:sz="12" w:space="0"/>
            <w:left w:val="single" w:color="2F2B2F" w:sz="12" w:space="0"/>
            <w:bottom w:val="single" w:color="2F2B2F" w:sz="12" w:space="0"/>
            <w:right w:val="single" w:color="2F2B2F" w:sz="12" w:space="0"/>
            <w:insideH w:val="single" w:color="2F2B2F" w:sz="12" w:space="0"/>
            <w:insideV w:val="single" w:color="2F2B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</w:trPr>
        <w:tc>
          <w:tcPr>
            <w:tcW w:w="484" w:type="dxa"/>
          </w:tcPr>
          <w:p w14:paraId="59E92A7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3219" w:type="dxa"/>
          </w:tcPr>
          <w:p w14:paraId="63E211E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информационном стенде в помеще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ии санатория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«Родник» не размещена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информация о правилах в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утреннего распорядка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для получателей социальных услуг.</w:t>
            </w:r>
          </w:p>
        </w:tc>
        <w:tc>
          <w:tcPr>
            <w:tcW w:w="4166" w:type="dxa"/>
          </w:tcPr>
          <w:p w14:paraId="1377D408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11 части 2 статьи 13 Федерал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ьн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 1 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граждан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 на информационных стендах в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помещениях обеспечивает открытость и доступность информации о правилах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внутреннего распорядка для получателей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социальных услуг.</w:t>
            </w:r>
          </w:p>
        </w:tc>
        <w:tc>
          <w:tcPr>
            <w:tcW w:w="2861" w:type="dxa"/>
          </w:tcPr>
          <w:p w14:paraId="5BC5E16E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1669129D">
        <w:tblPrEx>
          <w:tblBorders>
            <w:top w:val="single" w:color="2F2B2F" w:sz="12" w:space="0"/>
            <w:left w:val="single" w:color="2F2B2F" w:sz="12" w:space="0"/>
            <w:bottom w:val="single" w:color="2F2B2F" w:sz="12" w:space="0"/>
            <w:right w:val="single" w:color="2F2B2F" w:sz="12" w:space="0"/>
            <w:insideH w:val="single" w:color="2F2B2F" w:sz="12" w:space="0"/>
            <w:insideV w:val="single" w:color="2F2B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5" w:hRule="atLeast"/>
        </w:trPr>
        <w:tc>
          <w:tcPr>
            <w:tcW w:w="484" w:type="dxa"/>
          </w:tcPr>
          <w:p w14:paraId="39D486D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3219" w:type="dxa"/>
          </w:tcPr>
          <w:p w14:paraId="6BDFA48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информационном стенде в помещении санатория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«Родник» не размещена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информация о правилах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внутреннего трудового распорядка.</w:t>
            </w:r>
          </w:p>
        </w:tc>
        <w:tc>
          <w:tcPr>
            <w:tcW w:w="4166" w:type="dxa"/>
          </w:tcPr>
          <w:p w14:paraId="52C43294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11 части 2 стат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ьи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 13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N.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граждан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на информационных стендах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помещениях обеспечивает открытость и доступность информации о правилах внутреннего трудового распорядка.</w:t>
            </w:r>
          </w:p>
        </w:tc>
        <w:tc>
          <w:tcPr>
            <w:tcW w:w="2861" w:type="dxa"/>
          </w:tcPr>
          <w:p w14:paraId="7D595013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67793E7E">
        <w:tblPrEx>
          <w:tblBorders>
            <w:top w:val="single" w:color="2F2F2F" w:sz="12" w:space="0"/>
            <w:left w:val="single" w:color="2F2F2F" w:sz="12" w:space="0"/>
            <w:bottom w:val="single" w:color="2F2F2F" w:sz="12" w:space="0"/>
            <w:right w:val="single" w:color="2F2F2F" w:sz="12" w:space="0"/>
            <w:insideH w:val="single" w:color="2F2F2F" w:sz="12" w:space="0"/>
            <w:insideV w:val="single" w:color="2F2F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4" w:hRule="atLeast"/>
        </w:trPr>
        <w:tc>
          <w:tcPr>
            <w:tcW w:w="484" w:type="dxa"/>
          </w:tcPr>
          <w:p w14:paraId="4DC8991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3219" w:type="dxa"/>
          </w:tcPr>
          <w:p w14:paraId="5EF4A077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</w:p>
          <w:p w14:paraId="6E9CD6EF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 w:firstLine="19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не обеспечена получателям социальных услуг возможность пользоваться услугами связи, в том числе сети «Интернет» и услугами почтовой связи.</w:t>
            </w:r>
          </w:p>
        </w:tc>
        <w:tc>
          <w:tcPr>
            <w:tcW w:w="4166" w:type="dxa"/>
          </w:tcPr>
          <w:p w14:paraId="6F45601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9 части 1 статьи 12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 1 2.2013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граждан Российской Федерации»; подпункт 9 пункта 20 приказа Министерства труда и социальной защиты Российской Федерации от 24.11.2014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N‹ 940н «Об утвержде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ии Правил организации деятельности организаций социального обслуживания,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их структурных подразделений»; подпункт 9 пункта 1. 11 приказа министерства социальной политики Красноярского края от 19.03.2021 N:• 27-H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утверждении Порядка предоставления социальных услуг поставщиками социальных услуг, включая переч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е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нь документов, необходимых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для предоставления социальных услуг, и порядка представления получателями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социальных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 услуг сведений и документов, необходимых для предоставления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социальных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 услуг»: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поставщики социальных услуг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обязаны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 предоставлять получателям социальных услуг возможность пользоваться услугами связи, в том числе сети «Интернет»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услугами почтовой связи, при получении услуг в организациях социального обслуживания;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организация социального обслуживания обязана предоставлять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получателям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 социальных услуг возможность пользоваться услугами связи, в том числе информационно-телекоммуникац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онной сети «Интер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ет» и услугами почтовой связи, при получении услуг в организациях социального обслуживания;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поставщик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со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циальных услуг обязан предоставлять получателям социальных услуг возможность пользоваться услугами связи, в том числе сети Интернет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 услугами почтовой связи.</w:t>
            </w:r>
          </w:p>
        </w:tc>
        <w:tc>
          <w:tcPr>
            <w:tcW w:w="2861" w:type="dxa"/>
          </w:tcPr>
          <w:p w14:paraId="1B5D8991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Возможность пользования услугами интернет предоставляется.</w:t>
            </w:r>
          </w:p>
          <w:p w14:paraId="5F24758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Информация размещена.</w:t>
            </w:r>
          </w:p>
        </w:tc>
      </w:tr>
      <w:tr w14:paraId="3710DE74">
        <w:tblPrEx>
          <w:tblBorders>
            <w:top w:val="single" w:color="2F2F2F" w:sz="12" w:space="0"/>
            <w:left w:val="single" w:color="2F2F2F" w:sz="12" w:space="0"/>
            <w:bottom w:val="single" w:color="2F2F2F" w:sz="12" w:space="0"/>
            <w:right w:val="single" w:color="2F2F2F" w:sz="12" w:space="0"/>
            <w:insideH w:val="single" w:color="2F2F2F" w:sz="12" w:space="0"/>
            <w:insideV w:val="single" w:color="2F2F2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8" w:hRule="atLeast"/>
        </w:trPr>
        <w:tc>
          <w:tcPr>
            <w:tcW w:w="484" w:type="dxa"/>
          </w:tcPr>
          <w:p w14:paraId="3499525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3219" w:type="dxa"/>
          </w:tcPr>
          <w:p w14:paraId="25EAEFF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не обеспечено надлежащее размещение носителей информации, необходимой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для обеспечения бес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п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репятственного доступа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инвалидов к санаторию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«Родник».</w:t>
            </w:r>
          </w:p>
        </w:tc>
        <w:tc>
          <w:tcPr>
            <w:tcW w:w="4166" w:type="dxa"/>
          </w:tcPr>
          <w:p w14:paraId="442119FC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2 части 4 статьи 19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граждан Российской Федерации»;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5 части 1 статьи 15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24.11.1995 N‹. 181-ФЗ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 социальной защите инвалидов в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при предоставлении социальных услуг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полустационарной форме или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в стационарной форме поставщиком социальных услуг должно быть обеспеч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е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но досту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п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ное размещение носителей информации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;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поставщик социальных услуг обеспечивает инвалидам надле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ж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ащее размещение носителей информации, необходимых для обеспечения беспрепятственного доступа инвалидов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к объектам поставщика социальных услуг и к услугам поставщика социальных услуг с уч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е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том ограничений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их жизнедеятельности.</w:t>
            </w:r>
          </w:p>
        </w:tc>
        <w:tc>
          <w:tcPr>
            <w:tcW w:w="2861" w:type="dxa"/>
          </w:tcPr>
          <w:p w14:paraId="06DF1D7A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Возможность доступа для инвалидов обеспечена</w:t>
            </w:r>
          </w:p>
        </w:tc>
      </w:tr>
      <w:tr w14:paraId="199211EC">
        <w:tblPrEx>
          <w:tblBorders>
            <w:top w:val="single" w:color="343434" w:sz="12" w:space="0"/>
            <w:left w:val="single" w:color="343434" w:sz="12" w:space="0"/>
            <w:bottom w:val="single" w:color="343434" w:sz="12" w:space="0"/>
            <w:right w:val="single" w:color="343434" w:sz="12" w:space="0"/>
            <w:insideH w:val="single" w:color="343434" w:sz="12" w:space="0"/>
            <w:insideV w:val="single" w:color="343434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8" w:hRule="atLeast"/>
        </w:trPr>
        <w:tc>
          <w:tcPr>
            <w:tcW w:w="484" w:type="dxa"/>
          </w:tcPr>
          <w:p w14:paraId="3FCDC31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3219" w:type="dxa"/>
          </w:tcPr>
          <w:p w14:paraId="002D6BFB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т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ро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й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сан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атории «Родник»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не обеспечено дублирование необходимой для инвалидов текстовой информации знаками, выполненными рельефно-точечным шрифтом Брайля.</w:t>
            </w:r>
          </w:p>
        </w:tc>
        <w:tc>
          <w:tcPr>
            <w:tcW w:w="4166" w:type="dxa"/>
          </w:tcPr>
          <w:p w14:paraId="5F70FDF2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6 части 1 статьи 15 Федер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а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24.11.1995 N• 181-ФЗ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 социальной защите инвалидов в Российской Федерации»;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кт 3 части 4 статьи 19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Федерального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ж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дан в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поставщик социальных услуг обеспечивает инвалидам дублирова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ние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 надписей и иной текстовой и графической информации знаками, выполненными рельефно-точечным шрифтом Брайля;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при предоставлении социальных услуг в полустационарной форме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или в стационарной форме поставщиком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социальных услуг должно быть обеспечено оснащение организации социального обслуживания знаками, выполненными рельефно-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т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очечным шрифтом Брайля.</w:t>
            </w:r>
          </w:p>
        </w:tc>
        <w:tc>
          <w:tcPr>
            <w:tcW w:w="2861" w:type="dxa"/>
          </w:tcPr>
          <w:p w14:paraId="7E64E085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Информационные таблички с шрифтом Брайля размещены на кабинетах,на входе в санаторий, сигнальные ленты для контрастной маркировки ступеней лестниц также размещены.</w:t>
            </w:r>
          </w:p>
        </w:tc>
      </w:tr>
      <w:tr w14:paraId="3B84FEDC">
        <w:tblPrEx>
          <w:tblBorders>
            <w:top w:val="single" w:color="343434" w:sz="12" w:space="0"/>
            <w:left w:val="single" w:color="343434" w:sz="12" w:space="0"/>
            <w:bottom w:val="single" w:color="343434" w:sz="12" w:space="0"/>
            <w:right w:val="single" w:color="343434" w:sz="12" w:space="0"/>
            <w:insideH w:val="single" w:color="343434" w:sz="12" w:space="0"/>
            <w:insideV w:val="single" w:color="343434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9" w:hRule="atLeast"/>
        </w:trPr>
        <w:tc>
          <w:tcPr>
            <w:tcW w:w="484" w:type="dxa"/>
          </w:tcPr>
          <w:p w14:paraId="39AB9AA5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3219" w:type="dxa"/>
          </w:tcPr>
          <w:p w14:paraId="18E49B3D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ООО «СтройАчинск»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не обеспечен допуск тифлосурдопереводчика в санаторий «Родник».</w:t>
            </w:r>
          </w:p>
        </w:tc>
        <w:tc>
          <w:tcPr>
            <w:tcW w:w="4166" w:type="dxa"/>
          </w:tcPr>
          <w:p w14:paraId="35E42819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3 части 4 статьи 19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28.12.2013 № 442-ФЗ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«Об основах социального обслуживания граждан Российской Федерации»;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пункт 6 части 1 статьи 15 Федерального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закона от 24.11.1995 №1 81-ФЗ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«О социальной защите инвалидов в Российской Федерации»: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при предоставлении социальных услуг в полустационарной форме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или в стационарной форме поставщиком социальных услуг должен быть обеспечен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 xml:space="preserve">допуск 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т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ифлосурдопереводчика;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- поставщик социальных услуг обеспечивает инвалидам допуск тифлосур</w:t>
            </w: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д</w:t>
            </w:r>
            <w:r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  <w:t>опереводчика.</w:t>
            </w:r>
          </w:p>
        </w:tc>
        <w:tc>
          <w:tcPr>
            <w:tcW w:w="2861" w:type="dxa"/>
          </w:tcPr>
          <w:p w14:paraId="36E40F56">
            <w:pPr>
              <w:pStyle w:val="7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28" w:right="28"/>
              <w:jc w:val="center"/>
              <w:textAlignment w:val="auto"/>
              <w:rPr>
                <w:rFonts w:hint="default" w:ascii="Times New Roman" w:hAnsi="Times New Roman" w:cs="Times New Roman" w:eastAsiaTheme="minorHAnsi"/>
                <w:sz w:val="22"/>
                <w:szCs w:val="22"/>
                <w:lang w:val="ru-RU" w:eastAsia="en-US" w:bidi="ar-SA"/>
              </w:rPr>
            </w:pPr>
            <w:r>
              <w:rPr>
                <w:rFonts w:hint="default" w:cs="Times New Roman" w:eastAsiaTheme="minorHAnsi"/>
                <w:sz w:val="22"/>
                <w:szCs w:val="22"/>
                <w:lang w:val="ru-RU" w:eastAsia="en-US" w:bidi="ar-SA"/>
              </w:rPr>
              <w:t>Допуск тифлосурдопереводчика обеспечен.</w:t>
            </w:r>
          </w:p>
        </w:tc>
      </w:tr>
    </w:tbl>
    <w:p w14:paraId="4FC1E8EE">
      <w:pPr>
        <w:ind w:left="0" w:leftChars="0" w:firstLine="560" w:firstLineChars="20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</w:p>
    <w:p w14:paraId="49B4540C">
      <w:pPr>
        <w:ind w:left="0" w:leftChars="0" w:firstLine="440" w:firstLineChars="200"/>
        <w:jc w:val="both"/>
        <w:rPr>
          <w:rFonts w:hint="default" w:ascii="Times New Roman" w:hAnsi="Times New Roman" w:cs="Times New Roman"/>
          <w:lang w:val="ru-RU"/>
        </w:rPr>
      </w:pPr>
    </w:p>
    <w:p w14:paraId="2BAE107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Заместитель г</w:t>
      </w:r>
      <w:r>
        <w:rPr>
          <w:rFonts w:hint="default" w:ascii="Times New Roman" w:hAnsi="Times New Roman" w:cs="Times New Roman"/>
          <w:sz w:val="24"/>
          <w:szCs w:val="24"/>
        </w:rPr>
        <w:t>енеральн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ого</w:t>
      </w:r>
      <w:r>
        <w:rPr>
          <w:rFonts w:hint="default" w:ascii="Times New Roman" w:hAnsi="Times New Roman" w:cs="Times New Roman"/>
          <w:sz w:val="24"/>
          <w:szCs w:val="24"/>
        </w:rPr>
        <w:t xml:space="preserve">  директор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а</w:t>
      </w:r>
      <w:r>
        <w:rPr>
          <w:rFonts w:hint="default" w:ascii="Times New Roman" w:hAnsi="Times New Roman" w:cs="Times New Roman"/>
          <w:sz w:val="24"/>
          <w:szCs w:val="24"/>
        </w:rPr>
        <w:t xml:space="preserve"> ООО «СтройАчинск»</w:t>
      </w:r>
    </w:p>
    <w:p w14:paraId="544214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по вопросам деятельности СП «Родник»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О.В. Жеребко</w:t>
      </w:r>
    </w:p>
    <w:p w14:paraId="65947C24">
      <w:pPr>
        <w:jc w:val="both"/>
        <w:rPr>
          <w:rFonts w:hint="default" w:ascii="Times New Roman" w:hAnsi="Times New Roman" w:cs="Times New Roman"/>
          <w:lang w:val="ru-RU"/>
        </w:rPr>
      </w:pPr>
    </w:p>
    <w:sectPr>
      <w:pgSz w:w="11906" w:h="16838"/>
      <w:pgMar w:top="402" w:right="706" w:bottom="382" w:left="12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480675"/>
    <w:rsid w:val="0DF33CF1"/>
    <w:rsid w:val="180F5844"/>
    <w:rsid w:val="30725C51"/>
    <w:rsid w:val="44480675"/>
    <w:rsid w:val="472557F4"/>
    <w:rsid w:val="55B25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50"/>
      <w:szCs w:val="50"/>
      <w:lang w:val="ru-RU" w:eastAsia="en-US" w:bidi="ar-SA"/>
    </w:rPr>
  </w:style>
  <w:style w:type="paragraph" w:styleId="5">
    <w:name w:val="HTML Preformatted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table" w:styleId="6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pPr>
      <w:ind w:left="244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231</Words>
  <Characters>1666</Characters>
  <Lines>0</Lines>
  <Paragraphs>0</Paragraphs>
  <TotalTime>48</TotalTime>
  <ScaleCrop>false</ScaleCrop>
  <LinksUpToDate>false</LinksUpToDate>
  <CharactersWithSpaces>2021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2025-10-02T01:14:00Z</dcterms:created>
  <dc:creator>WPS_1707015038</dc:creator>
  <cp:lastModifiedBy>mail</cp:lastModifiedBy>
  <cp:lastPrinted>2026-07-10T02:13:11Z</cp:lastPrinted>
  <dcterms:modified xsi:type="dcterms:W3CDTF">2026-07-10T03:21:40Z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9CB8DE11617F4EBC9406091BF01A9573_13</vt:lpwstr>
  </property>
  <property fmtid="{D5CDD505-2E9C-101B-9397-08002B2CF9AE}" pid="4" name="KSOTemplateDocerSaveRecord">
    <vt:lpwstr>eyJoZGlkIjoiNGU2Y2MyYWZlZTllZWE4Yzc3NmJmNzRjYjgyY2Y3YTkiLCJ1c2VySWQiOiI4NDIzMjM3MTU3ODEifQ==</vt:lpwstr>
  </property>
</Properties>
</file>